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9"/>
        <w:gridCol w:w="2223"/>
      </w:tblGrid>
      <w:tr w:rsidR="00E0146C" w:rsidRPr="00E22C5F" w:rsidTr="00335B63">
        <w:tc>
          <w:tcPr>
            <w:tcW w:w="1884" w:type="pct"/>
          </w:tcPr>
          <w:p w:rsidR="00E0146C" w:rsidRPr="00E22C5F" w:rsidRDefault="00E0146C"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0509.N.VTLT</w:t>
            </w:r>
            <w:r w:rsidRPr="00E22C5F">
              <w:rPr>
                <w:rFonts w:ascii="Arial" w:hAnsi="Arial" w:cs="Arial"/>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 sau</w:t>
            </w:r>
          </w:p>
        </w:tc>
        <w:tc>
          <w:tcPr>
            <w:tcW w:w="1884" w:type="pct"/>
          </w:tcPr>
          <w:p w:rsidR="00E0146C" w:rsidRPr="00E22C5F" w:rsidRDefault="00E0146C"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QUY MÔ CỦA KHO LƯU TRỮ</w:t>
            </w:r>
            <w:r w:rsidRPr="00BE7FF2">
              <w:rPr>
                <w:rFonts w:ascii="Arial" w:hAnsi="Arial" w:cs="Arial"/>
                <w:b/>
                <w:bCs/>
                <w:color w:val="000000" w:themeColor="text1"/>
                <w:sz w:val="20"/>
                <w:szCs w:val="20"/>
              </w:rPr>
              <w:t xml:space="preserve"> </w:t>
            </w:r>
            <w:r w:rsidRPr="00E22C5F">
              <w:rPr>
                <w:rFonts w:ascii="Arial" w:hAnsi="Arial" w:cs="Arial"/>
                <w:b/>
                <w:bCs/>
                <w:color w:val="000000" w:themeColor="text1"/>
                <w:sz w:val="20"/>
                <w:szCs w:val="20"/>
              </w:rPr>
              <w:t>TÀI LIỆU GIẤY VÀ SỐ TRANG THIẾT BỊ</w:t>
            </w:r>
            <w:r w:rsidRPr="00BE7FF2">
              <w:rPr>
                <w:rFonts w:ascii="Arial" w:hAnsi="Arial" w:cs="Arial"/>
                <w:b/>
                <w:bCs/>
                <w:color w:val="000000" w:themeColor="text1"/>
                <w:sz w:val="20"/>
                <w:szCs w:val="20"/>
              </w:rPr>
              <w:t xml:space="preserve"> </w:t>
            </w:r>
            <w:r w:rsidRPr="00E22C5F">
              <w:rPr>
                <w:rFonts w:ascii="Arial" w:hAnsi="Arial" w:cs="Arial"/>
                <w:b/>
                <w:bCs/>
                <w:color w:val="000000" w:themeColor="text1"/>
                <w:sz w:val="20"/>
                <w:szCs w:val="20"/>
              </w:rPr>
              <w:t>DÙNG CHO</w:t>
            </w:r>
            <w:r w:rsidRPr="00BE7FF2">
              <w:rPr>
                <w:rFonts w:ascii="Arial" w:hAnsi="Arial" w:cs="Arial"/>
                <w:b/>
                <w:bCs/>
                <w:color w:val="000000" w:themeColor="text1"/>
                <w:sz w:val="20"/>
                <w:szCs w:val="20"/>
              </w:rPr>
              <w:t xml:space="preserve"> </w:t>
            </w:r>
            <w:r w:rsidRPr="00E22C5F">
              <w:rPr>
                <w:rFonts w:ascii="Arial" w:hAnsi="Arial" w:cs="Arial"/>
                <w:b/>
                <w:bCs/>
                <w:color w:val="000000" w:themeColor="text1"/>
                <w:sz w:val="20"/>
                <w:szCs w:val="20"/>
              </w:rPr>
              <w:t>LƯU TRỮ</w:t>
            </w:r>
            <w:r w:rsidRPr="00E22C5F">
              <w:rPr>
                <w:rFonts w:ascii="Arial" w:hAnsi="Arial" w:cs="Arial"/>
                <w:color w:val="000000" w:themeColor="text1"/>
                <w:sz w:val="20"/>
                <w:szCs w:val="20"/>
              </w:rPr>
              <w:br/>
              <w:t>Năm…</w:t>
            </w:r>
          </w:p>
        </w:tc>
        <w:tc>
          <w:tcPr>
            <w:tcW w:w="1232" w:type="pct"/>
          </w:tcPr>
          <w:p w:rsidR="00E0146C" w:rsidRPr="00E22C5F" w:rsidRDefault="00E0146C"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rsidR="00E0146C" w:rsidRPr="00E22C5F" w:rsidRDefault="00E0146C"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513"/>
        <w:gridCol w:w="445"/>
        <w:gridCol w:w="822"/>
        <w:gridCol w:w="858"/>
        <w:gridCol w:w="1025"/>
        <w:gridCol w:w="948"/>
        <w:gridCol w:w="903"/>
        <w:gridCol w:w="1042"/>
        <w:gridCol w:w="510"/>
        <w:gridCol w:w="944"/>
      </w:tblGrid>
      <w:tr w:rsidR="00E0146C" w:rsidRPr="008941D9" w:rsidTr="00335B63">
        <w:trPr>
          <w:trHeight w:val="20"/>
          <w:jc w:val="center"/>
        </w:trPr>
        <w:tc>
          <w:tcPr>
            <w:tcW w:w="839" w:type="pct"/>
            <w:vMerge w:val="restar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47" w:type="pct"/>
            <w:vMerge w:val="restar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Mã số</w:t>
            </w:r>
          </w:p>
        </w:tc>
        <w:tc>
          <w:tcPr>
            <w:tcW w:w="456" w:type="pct"/>
            <w:vMerge w:val="restar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Đơn vị tính</w:t>
            </w:r>
          </w:p>
        </w:tc>
        <w:tc>
          <w:tcPr>
            <w:tcW w:w="2933" w:type="pct"/>
            <w:gridSpan w:val="6"/>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b/>
                <w:bCs/>
                <w:color w:val="000000" w:themeColor="text1"/>
                <w:szCs w:val="20"/>
              </w:rPr>
              <w:t>Lưu trữ hiện hành</w:t>
            </w: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b/>
                <w:bCs/>
                <w:color w:val="000000" w:themeColor="text1"/>
                <w:szCs w:val="20"/>
              </w:rPr>
              <w:t>Lưu trữ lịch sử</w:t>
            </w:r>
          </w:p>
        </w:tc>
      </w:tr>
      <w:tr w:rsidR="00E0146C" w:rsidRPr="008941D9" w:rsidTr="00335B63">
        <w:trPr>
          <w:trHeight w:val="20"/>
          <w:jc w:val="center"/>
        </w:trPr>
        <w:tc>
          <w:tcPr>
            <w:tcW w:w="839" w:type="pct"/>
            <w:vMerge/>
            <w:tcBorders>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47" w:type="pct"/>
            <w:vMerge/>
            <w:tcBorders>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456" w:type="pct"/>
            <w:vMerge/>
            <w:tcBorders>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47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Tổng số</w:t>
            </w:r>
          </w:p>
        </w:tc>
        <w:tc>
          <w:tcPr>
            <w:tcW w:w="56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Cơ quan, tổ chức cấp I</w:t>
            </w:r>
          </w:p>
        </w:tc>
        <w:tc>
          <w:tcPr>
            <w:tcW w:w="52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Cơ quan, tổ chức cấp II</w:t>
            </w:r>
          </w:p>
        </w:tc>
        <w:tc>
          <w:tcPr>
            <w:tcW w:w="501"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Cơ quan, tổ chức cấp III</w:t>
            </w:r>
          </w:p>
        </w:tc>
        <w:tc>
          <w:tcPr>
            <w:tcW w:w="578"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Cơ quan, tổ chức cấp IV</w:t>
            </w:r>
          </w:p>
        </w:tc>
        <w:tc>
          <w:tcPr>
            <w:tcW w:w="283"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Cấp</w:t>
            </w:r>
          </w:p>
          <w:p w:rsidR="00E0146C" w:rsidRPr="008941D9" w:rsidRDefault="00E0146C" w:rsidP="00335B63">
            <w:pPr>
              <w:jc w:val="center"/>
              <w:rPr>
                <w:rFonts w:cs="Arial"/>
                <w:color w:val="000000" w:themeColor="text1"/>
                <w:szCs w:val="20"/>
              </w:rPr>
            </w:pPr>
            <w:r w:rsidRPr="008941D9">
              <w:rPr>
                <w:rFonts w:cs="Arial"/>
                <w:color w:val="000000" w:themeColor="text1"/>
                <w:szCs w:val="20"/>
              </w:rPr>
              <w:t>xã</w:t>
            </w: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A</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B</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1=2+3+</w:t>
            </w:r>
          </w:p>
          <w:p w:rsidR="00E0146C" w:rsidRPr="008941D9" w:rsidRDefault="00E0146C" w:rsidP="00335B63">
            <w:pPr>
              <w:jc w:val="center"/>
              <w:rPr>
                <w:rFonts w:cs="Arial"/>
                <w:color w:val="000000" w:themeColor="text1"/>
                <w:szCs w:val="20"/>
              </w:rPr>
            </w:pPr>
            <w:r w:rsidRPr="008941D9">
              <w:rPr>
                <w:rFonts w:cs="Arial"/>
                <w:color w:val="000000" w:themeColor="text1"/>
                <w:szCs w:val="20"/>
              </w:rPr>
              <w:t>4+5+6</w:t>
            </w:r>
          </w:p>
        </w:tc>
        <w:tc>
          <w:tcPr>
            <w:tcW w:w="569"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2</w:t>
            </w:r>
          </w:p>
        </w:tc>
        <w:tc>
          <w:tcPr>
            <w:tcW w:w="52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3</w:t>
            </w:r>
          </w:p>
        </w:tc>
        <w:tc>
          <w:tcPr>
            <w:tcW w:w="501"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4</w:t>
            </w:r>
          </w:p>
        </w:tc>
        <w:tc>
          <w:tcPr>
            <w:tcW w:w="578"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5</w:t>
            </w:r>
          </w:p>
        </w:tc>
        <w:tc>
          <w:tcPr>
            <w:tcW w:w="283"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6</w:t>
            </w: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7</w:t>
            </w: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1. Quy mô của Kho lưu trữ tài liệu giấy</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476" w:type="pct"/>
            <w:tcBorders>
              <w:top w:val="single" w:sz="4" w:space="0" w:color="auto"/>
              <w:left w:val="single" w:sz="4" w:space="0" w:color="auto"/>
              <w:bottom w:val="single" w:sz="4" w:space="0" w:color="auto"/>
              <w:right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right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right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right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right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i/>
                <w:iCs/>
                <w:color w:val="000000" w:themeColor="text1"/>
                <w:szCs w:val="20"/>
              </w:rPr>
              <w:t>Chia ra:</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47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Mức độ 1</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01</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 Mức độ 2</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02</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 Mức độ 3</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03</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 Mức độ 4</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04</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l2br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8941D9"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2. Chiều dài giá/tủ bảo quản tài liệu</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05</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8941D9"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 Trong đó giá cố định</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06</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8941D9"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 Trong đó giá di động</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07</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Mét giá</w:t>
            </w:r>
          </w:p>
        </w:tc>
        <w:tc>
          <w:tcPr>
            <w:tcW w:w="47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8941D9"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3. Camera quan sát</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08</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8941D9" w:rsidTr="00335B63">
        <w:trPr>
          <w:trHeight w:val="20"/>
          <w:jc w:val="center"/>
        </w:trPr>
        <w:tc>
          <w:tcPr>
            <w:tcW w:w="839" w:type="pct"/>
            <w:tcBorders>
              <w:top w:val="single" w:sz="4" w:space="0" w:color="auto"/>
              <w:left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4. Hệ thống chống đột nhập</w:t>
            </w:r>
          </w:p>
        </w:tc>
        <w:tc>
          <w:tcPr>
            <w:tcW w:w="247"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09</w:t>
            </w:r>
          </w:p>
        </w:tc>
        <w:tc>
          <w:tcPr>
            <w:tcW w:w="45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8941D9"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rPr>
                <w:rFonts w:cs="Arial"/>
                <w:color w:val="000000" w:themeColor="text1"/>
                <w:szCs w:val="20"/>
              </w:rPr>
            </w:pPr>
            <w:r w:rsidRPr="008941D9">
              <w:rPr>
                <w:rFonts w:cs="Arial"/>
                <w:color w:val="000000" w:themeColor="text1"/>
                <w:szCs w:val="20"/>
              </w:rPr>
              <w:t>5. Hệ thống cảnh báo cháy tự động</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10</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8941D9"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6.Hệ thống chữa cháy tự động</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11</w:t>
            </w:r>
          </w:p>
        </w:tc>
        <w:tc>
          <w:tcPr>
            <w:tcW w:w="456"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7. Bình chữa cháy</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12</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8. Hệ thống điều hòa nhiệt độ trung tâm</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13</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tcPr>
          <w:p w:rsidR="00E0146C" w:rsidRPr="00E22C5F" w:rsidRDefault="00E0146C" w:rsidP="00335B63">
            <w:pPr>
              <w:rPr>
                <w:rFonts w:cs="Arial"/>
                <w:color w:val="000000" w:themeColor="text1"/>
                <w:szCs w:val="20"/>
              </w:rPr>
            </w:pPr>
            <w:r w:rsidRPr="008941D9">
              <w:rPr>
                <w:rFonts w:cs="Arial"/>
                <w:color w:val="000000" w:themeColor="text1"/>
                <w:szCs w:val="20"/>
              </w:rPr>
              <w:t>9. Máy điều hòa nhiệt độ</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14</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rPr>
                <w:rFonts w:cs="Arial"/>
                <w:color w:val="000000" w:themeColor="text1"/>
                <w:szCs w:val="20"/>
              </w:rPr>
            </w:pPr>
            <w:r w:rsidRPr="008941D9">
              <w:rPr>
                <w:rFonts w:cs="Arial"/>
                <w:color w:val="000000" w:themeColor="text1"/>
                <w:szCs w:val="20"/>
              </w:rPr>
              <w:t>10. Máy hút ẩm</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15</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11. Dụng cụ đo nhiệt độ, độ ẩm</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16</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12. Thiết bị thông gió</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17</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13. Máy khử trùng tài liệu</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18</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14. Máy khử axit</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19</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15. Hệ thống thiết bị tu bổ, phục chế tài liệu bằng phương pháp thủ công</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20</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8941D9" w:rsidRDefault="00E0146C" w:rsidP="00335B63">
            <w:pPr>
              <w:rPr>
                <w:rFonts w:cs="Arial"/>
                <w:color w:val="000000" w:themeColor="text1"/>
                <w:szCs w:val="20"/>
              </w:rPr>
            </w:pPr>
            <w:r w:rsidRPr="008941D9">
              <w:rPr>
                <w:rFonts w:cs="Arial"/>
                <w:color w:val="000000" w:themeColor="text1"/>
                <w:szCs w:val="20"/>
              </w:rPr>
              <w:t>16. Hệ thống thiết bị tu bổ, phục chế tài liệu bằng</w:t>
            </w:r>
            <w:r w:rsidRPr="008941D9">
              <w:rPr>
                <w:rFonts w:cs="Arial"/>
                <w:color w:val="000000" w:themeColor="text1"/>
                <w:szCs w:val="20"/>
              </w:rPr>
              <w:tab/>
              <w:t>máy</w:t>
            </w:r>
          </w:p>
          <w:p w:rsidR="00E0146C" w:rsidRPr="00E22C5F" w:rsidRDefault="00E0146C" w:rsidP="00335B63">
            <w:pPr>
              <w:rPr>
                <w:rFonts w:cs="Arial"/>
                <w:color w:val="000000" w:themeColor="text1"/>
                <w:szCs w:val="20"/>
              </w:rPr>
            </w:pPr>
            <w:r w:rsidRPr="008941D9">
              <w:rPr>
                <w:rFonts w:cs="Arial"/>
                <w:color w:val="000000" w:themeColor="text1"/>
                <w:szCs w:val="20"/>
              </w:rPr>
              <w:t>Leafcasting</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21</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17. Mạng diện rộng</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22</w:t>
            </w:r>
          </w:p>
        </w:tc>
        <w:tc>
          <w:tcPr>
            <w:tcW w:w="456"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jc w:val="center"/>
              <w:rPr>
                <w:rFonts w:cs="Arial"/>
                <w:color w:val="000000" w:themeColor="text1"/>
                <w:szCs w:val="20"/>
              </w:rPr>
            </w:pPr>
            <w:r w:rsidRPr="008941D9">
              <w:rPr>
                <w:rFonts w:cs="Arial"/>
                <w:color w:val="000000" w:themeColor="text1"/>
                <w:szCs w:val="20"/>
              </w:rPr>
              <w:t>Hệ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rPr>
                <w:rFonts w:cs="Arial"/>
                <w:color w:val="000000" w:themeColor="text1"/>
                <w:szCs w:val="20"/>
              </w:rPr>
            </w:pPr>
            <w:r w:rsidRPr="008941D9">
              <w:rPr>
                <w:rFonts w:cs="Arial"/>
                <w:color w:val="000000" w:themeColor="text1"/>
                <w:szCs w:val="20"/>
              </w:rPr>
              <w:t>18. Mạng nội bộ</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23</w:t>
            </w:r>
          </w:p>
        </w:tc>
        <w:tc>
          <w:tcPr>
            <w:tcW w:w="456" w:type="pct"/>
            <w:tcBorders>
              <w:top w:val="single" w:sz="4" w:space="0" w:color="auto"/>
              <w:left w:val="single" w:sz="4" w:space="0" w:color="auto"/>
              <w:bottom w:val="single" w:sz="4" w:space="0" w:color="auto"/>
            </w:tcBorders>
            <w:shd w:val="clear" w:color="auto" w:fill="FFFFFF"/>
          </w:tcPr>
          <w:p w:rsidR="00E0146C" w:rsidRPr="00E22C5F" w:rsidRDefault="00E0146C" w:rsidP="00335B63">
            <w:pPr>
              <w:jc w:val="center"/>
              <w:rPr>
                <w:rFonts w:cs="Arial"/>
                <w:color w:val="000000" w:themeColor="text1"/>
                <w:szCs w:val="20"/>
              </w:rPr>
            </w:pPr>
            <w:r w:rsidRPr="008941D9">
              <w:rPr>
                <w:rFonts w:cs="Arial"/>
                <w:color w:val="000000" w:themeColor="text1"/>
                <w:szCs w:val="20"/>
              </w:rPr>
              <w:t>H</w:t>
            </w:r>
            <w:r>
              <w:rPr>
                <w:rFonts w:cs="Arial"/>
                <w:color w:val="000000" w:themeColor="text1"/>
                <w:szCs w:val="20"/>
                <w:lang w:val="en-US"/>
              </w:rPr>
              <w:t>ệ</w:t>
            </w:r>
            <w:r w:rsidRPr="008941D9">
              <w:rPr>
                <w:rFonts w:cs="Arial"/>
                <w:color w:val="000000" w:themeColor="text1"/>
                <w:szCs w:val="20"/>
              </w:rPr>
              <w:t xml:space="preserve"> thống</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rPr>
                <w:rFonts w:cs="Arial"/>
                <w:color w:val="000000" w:themeColor="text1"/>
                <w:szCs w:val="20"/>
              </w:rPr>
            </w:pPr>
            <w:r w:rsidRPr="008941D9">
              <w:rPr>
                <w:rFonts w:cs="Arial"/>
                <w:color w:val="000000" w:themeColor="text1"/>
                <w:szCs w:val="20"/>
              </w:rPr>
              <w:t>19. Máy chủ</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24</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tcPr>
          <w:p w:rsidR="00E0146C" w:rsidRPr="00E22C5F" w:rsidRDefault="00E0146C" w:rsidP="00335B63">
            <w:pPr>
              <w:rPr>
                <w:rFonts w:cs="Arial"/>
                <w:color w:val="000000" w:themeColor="text1"/>
                <w:szCs w:val="20"/>
              </w:rPr>
            </w:pPr>
            <w:r w:rsidRPr="008941D9">
              <w:rPr>
                <w:rFonts w:cs="Arial"/>
                <w:color w:val="000000" w:themeColor="text1"/>
                <w:szCs w:val="20"/>
              </w:rPr>
              <w:t>20. Ô lưu dữ liệu</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25</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rPr>
                <w:rFonts w:cs="Arial"/>
                <w:color w:val="000000" w:themeColor="text1"/>
                <w:szCs w:val="20"/>
              </w:rPr>
            </w:pPr>
            <w:r w:rsidRPr="008941D9">
              <w:rPr>
                <w:rFonts w:cs="Arial"/>
                <w:color w:val="000000" w:themeColor="text1"/>
                <w:szCs w:val="20"/>
              </w:rPr>
              <w:t>21. Máy vi tính</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26</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8941D9" w:rsidRDefault="00E0146C" w:rsidP="00335B63">
            <w:pPr>
              <w:rPr>
                <w:rFonts w:cs="Arial"/>
                <w:color w:val="000000" w:themeColor="text1"/>
                <w:szCs w:val="20"/>
              </w:rPr>
            </w:pPr>
            <w:r w:rsidRPr="008941D9">
              <w:rPr>
                <w:rFonts w:cs="Arial"/>
                <w:color w:val="000000" w:themeColor="text1"/>
                <w:szCs w:val="20"/>
              </w:rPr>
              <w:t>22. Máy quét</w:t>
            </w:r>
          </w:p>
          <w:p w:rsidR="00E0146C" w:rsidRPr="00E22C5F" w:rsidRDefault="00E0146C" w:rsidP="00335B63">
            <w:pPr>
              <w:rPr>
                <w:rFonts w:cs="Arial"/>
                <w:color w:val="000000" w:themeColor="text1"/>
                <w:szCs w:val="20"/>
              </w:rPr>
            </w:pPr>
            <w:r w:rsidRPr="008941D9">
              <w:rPr>
                <w:rFonts w:cs="Arial"/>
                <w:color w:val="000000" w:themeColor="text1"/>
                <w:szCs w:val="20"/>
              </w:rPr>
              <w:t>(scanner)</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27</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23. Máy sao chụp</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28</w:t>
            </w:r>
          </w:p>
        </w:tc>
        <w:tc>
          <w:tcPr>
            <w:tcW w:w="45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Chiếc</w:t>
            </w: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r w:rsidR="00E0146C" w:rsidRPr="00E22C5F" w:rsidTr="00335B63">
        <w:trPr>
          <w:trHeight w:val="20"/>
          <w:jc w:val="center"/>
        </w:trPr>
        <w:tc>
          <w:tcPr>
            <w:tcW w:w="839" w:type="pct"/>
            <w:tcBorders>
              <w:top w:val="single" w:sz="4" w:space="0" w:color="auto"/>
              <w:left w:val="single" w:sz="4" w:space="0" w:color="auto"/>
              <w:bottom w:val="single" w:sz="4" w:space="0" w:color="auto"/>
            </w:tcBorders>
            <w:shd w:val="clear" w:color="auto" w:fill="FFFFFF"/>
            <w:vAlign w:val="bottom"/>
          </w:tcPr>
          <w:p w:rsidR="00E0146C" w:rsidRPr="00E22C5F" w:rsidRDefault="00E0146C" w:rsidP="00335B63">
            <w:pPr>
              <w:rPr>
                <w:rFonts w:cs="Arial"/>
                <w:color w:val="000000" w:themeColor="text1"/>
                <w:szCs w:val="20"/>
              </w:rPr>
            </w:pPr>
            <w:r w:rsidRPr="008941D9">
              <w:rPr>
                <w:rFonts w:cs="Arial"/>
                <w:color w:val="000000" w:themeColor="text1"/>
                <w:szCs w:val="20"/>
              </w:rPr>
              <w:t>24. Các trang thiết bị khác</w:t>
            </w:r>
          </w:p>
        </w:tc>
        <w:tc>
          <w:tcPr>
            <w:tcW w:w="247"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r w:rsidRPr="008941D9">
              <w:rPr>
                <w:rFonts w:cs="Arial"/>
                <w:color w:val="000000" w:themeColor="text1"/>
                <w:szCs w:val="20"/>
              </w:rPr>
              <w:t>29</w:t>
            </w:r>
          </w:p>
        </w:tc>
        <w:tc>
          <w:tcPr>
            <w:tcW w:w="456" w:type="pct"/>
            <w:tcBorders>
              <w:top w:val="single" w:sz="4" w:space="0" w:color="auto"/>
              <w:left w:val="single" w:sz="4" w:space="0" w:color="auto"/>
              <w:bottom w:val="single" w:sz="4" w:space="0" w:color="auto"/>
            </w:tcBorders>
            <w:shd w:val="clear" w:color="auto" w:fill="FFFFFF"/>
          </w:tcPr>
          <w:p w:rsidR="00E0146C" w:rsidRPr="00E22C5F" w:rsidRDefault="00E0146C" w:rsidP="00335B63">
            <w:pPr>
              <w:jc w:val="center"/>
              <w:rPr>
                <w:rFonts w:cs="Arial"/>
                <w:color w:val="000000" w:themeColor="text1"/>
                <w:szCs w:val="20"/>
              </w:rPr>
            </w:pPr>
          </w:p>
        </w:tc>
        <w:tc>
          <w:tcPr>
            <w:tcW w:w="47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69"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01"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78"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283" w:type="pct"/>
            <w:tcBorders>
              <w:top w:val="single" w:sz="4" w:space="0" w:color="auto"/>
              <w:left w:val="single" w:sz="4" w:space="0" w:color="auto"/>
              <w:bottom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E0146C" w:rsidRPr="00E22C5F" w:rsidRDefault="00E0146C" w:rsidP="00335B63">
            <w:pPr>
              <w:jc w:val="center"/>
              <w:rPr>
                <w:rFonts w:cs="Arial"/>
                <w:color w:val="000000" w:themeColor="text1"/>
                <w:szCs w:val="20"/>
              </w:rPr>
            </w:pPr>
          </w:p>
        </w:tc>
      </w:tr>
    </w:tbl>
    <w:p w:rsidR="00E0146C" w:rsidRPr="008941D9" w:rsidRDefault="00E0146C" w:rsidP="000F3AE7">
      <w:pPr>
        <w:rPr>
          <w:rFonts w:cs="Arial"/>
          <w:color w:val="000000" w:themeColor="text1"/>
          <w:szCs w:val="20"/>
        </w:rPr>
      </w:pPr>
    </w:p>
    <w:p w:rsidR="00E0146C" w:rsidRPr="00E22C5F" w:rsidRDefault="00E0146C" w:rsidP="000F3AE7">
      <w:pPr>
        <w:rPr>
          <w:rFonts w:cs="Arial"/>
          <w:b/>
          <w:bCs/>
          <w:color w:val="000000" w:themeColor="text1"/>
          <w:szCs w:val="20"/>
        </w:rPr>
      </w:pPr>
      <w:r w:rsidRPr="00E22C5F">
        <w:rPr>
          <w:rFonts w:cs="Arial"/>
          <w:b/>
          <w:bCs/>
          <w:color w:val="000000" w:themeColor="text1"/>
          <w:szCs w:val="20"/>
        </w:rPr>
        <w:br w:type="page"/>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0509.N.VTLT: Quy mô của Kho lưu trữ tài liệu giấy và Số trang thiết bị dùng cho lưu trữ</w:t>
      </w:r>
    </w:p>
    <w:p w:rsidR="00E0146C" w:rsidRPr="008941D9" w:rsidRDefault="00E0146C"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E0146C" w:rsidRPr="008941D9" w:rsidRDefault="00E0146C"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w:t>
      </w:r>
    </w:p>
    <w:p w:rsidR="00E0146C" w:rsidRPr="008941D9" w:rsidRDefault="00E0146C"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Kho lưu trữ tài liệu giấy là hệ thống tổng hợp hạ tầng xây dựng cơ bản, máy móc, trang thiết bị để lưu trữ tài liệu lưu trữ giấy. Quy mô của Kho lưu trữ tài liệu giấy được xác định trên cơ sở số lượng tài liệu lưu trữ cần bảo quản, gồm 04 mức độ sau đây:</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Mức độ 1: dưới 3.000 mét giá tài liệu;</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Mức độ 2: từ 3.000 mét giá tài liệu đến dưới 6.000 mét giá tài liệu;</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Mức độ 3: từ 6.000 mét giá tài liệu đến dưới 10.000 mét giá tài liệu;</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Mức độ 4: từ 10.000 mét giá tài liệu trở lên.</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Căn cứ xác định số lượng mét giá tài liệu cần bảo quản:</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Số lượng tài liệu thực tế đang bảo quản;</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Số lượng tài liệu thực tế đang bảo quản tại các cơ quan, tổ chức, cá nhân nộp tài liệu đã đến hạn nộp;</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Số lượng tài liệu ước tính hình thành ở các cơ quan, tổ chức, cá nhân nộp tài liệu sẽ thu về theo quy định tại khoản 3 Điều 17 Luật Lưu trữ;</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 Số lượng tài liệu lưu trữ tư ước tính sẽ sưu tầm hoặc được cho, tặng, ký gửi của các tổ chức và cá nhân.</w:t>
      </w:r>
    </w:p>
    <w:p w:rsidR="00E0146C" w:rsidRPr="008941D9" w:rsidRDefault="00E0146C"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Trang thiết bị dùng cho lưu trữ là các trang thiết bị được dùng để phục vụ công tác lưu trữ.</w:t>
      </w:r>
    </w:p>
    <w:p w:rsidR="00E0146C" w:rsidRPr="008941D9" w:rsidRDefault="00E0146C"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w:t>
      </w:r>
    </w:p>
    <w:p w:rsidR="00E0146C" w:rsidRPr="008941D9" w:rsidRDefault="00E0146C"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Quy mô của Kho lưu trữ tài liệu giấy theo quy định hiện hành có đến 31 tháng 12 năm báo cáo.</w:t>
      </w:r>
    </w:p>
    <w:p w:rsidR="00E0146C" w:rsidRPr="008941D9" w:rsidRDefault="00E0146C"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trang thiết bị dùng cho lưu trữ là số các loại trang thiết bị được dùng để phục vụ công tác lưu trữ có đến ngày 31 tháng 12 năm báo cáo.</w:t>
      </w:r>
    </w:p>
    <w:p w:rsidR="00E0146C" w:rsidRPr="008941D9" w:rsidRDefault="00E0146C"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lượng trang thiết bị dùng cho lưu trữ của Lưu trữ hiện hành theo từng loại tương ứng với các dòng của cột A có đến thời điểm ngày 31 tháng 12 năm báo cáo;</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lượng trang thiết bị dùng cho lưu trữ của cơ quan, tổ chức cấp I theo từng loại tương ứng với các dòng của cột A có đến thời điểm ngày 31 tháng 12 năm báo cáo;</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lượng trang thiết bị dùng cho lưu trữ của cơ quan, tổ chức cấp</w:t>
      </w:r>
      <w:r w:rsidRPr="00E22C5F">
        <w:rPr>
          <w:rFonts w:cs="Arial"/>
          <w:color w:val="000000" w:themeColor="text1"/>
          <w:szCs w:val="20"/>
        </w:rPr>
        <w:t xml:space="preserve"> II </w:t>
      </w:r>
      <w:r w:rsidRPr="008941D9">
        <w:rPr>
          <w:rFonts w:cs="Arial"/>
          <w:color w:val="000000" w:themeColor="text1"/>
          <w:szCs w:val="20"/>
        </w:rPr>
        <w:t>theo từng loại tương ứng với các dòng của cột A có đến thời điểm ngày 31 tháng</w:t>
      </w:r>
      <w:r w:rsidRPr="00E22C5F">
        <w:rPr>
          <w:rFonts w:cs="Arial"/>
          <w:color w:val="000000" w:themeColor="text1"/>
          <w:szCs w:val="20"/>
        </w:rPr>
        <w:t xml:space="preserve"> 12 </w:t>
      </w:r>
      <w:r w:rsidRPr="008941D9">
        <w:rPr>
          <w:rFonts w:cs="Arial"/>
          <w:color w:val="000000" w:themeColor="text1"/>
          <w:szCs w:val="20"/>
        </w:rPr>
        <w:t>năm báo cáo;</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lượng trang thiết bị dùng cho lưu trữ của cơ quan, tổ chức cấp</w:t>
      </w:r>
      <w:r w:rsidRPr="00E22C5F">
        <w:rPr>
          <w:rFonts w:cs="Arial"/>
          <w:color w:val="000000" w:themeColor="text1"/>
          <w:szCs w:val="20"/>
        </w:rPr>
        <w:t xml:space="preserve"> III </w:t>
      </w:r>
      <w:r w:rsidRPr="008941D9">
        <w:rPr>
          <w:rFonts w:cs="Arial"/>
          <w:color w:val="000000" w:themeColor="text1"/>
          <w:szCs w:val="20"/>
        </w:rPr>
        <w:t>theo từng loại tương ứng với các dòng của cột A có đến thời điểm ngày 31 tháng 12 năm báo cáo;</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lượng trang thiết bị dùng cho lưu trữ của cơ quan, tổ chức cấp</w:t>
      </w:r>
      <w:r w:rsidRPr="00E22C5F">
        <w:rPr>
          <w:rFonts w:cs="Arial"/>
          <w:color w:val="000000" w:themeColor="text1"/>
          <w:szCs w:val="20"/>
        </w:rPr>
        <w:t xml:space="preserve"> IV </w:t>
      </w:r>
      <w:r w:rsidRPr="008941D9">
        <w:rPr>
          <w:rFonts w:cs="Arial"/>
          <w:color w:val="000000" w:themeColor="text1"/>
          <w:szCs w:val="20"/>
        </w:rPr>
        <w:t>theo từng loại tương ứng với các dòng của cột A có đến thời điểm ngày 31 tháng 12 năm báo cáo;</w:t>
      </w:r>
    </w:p>
    <w:p w:rsidR="00E0146C" w:rsidRPr="008941D9"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lượng trang thiết bị dùng cho lưu trữ của cấp xã theo từng loại tương ứng với các dòng của cột A có đến thời điểm ngày 31 tháng 12 năm báo cáo;</w:t>
      </w:r>
    </w:p>
    <w:p w:rsidR="00E0146C" w:rsidRPr="00E22C5F" w:rsidRDefault="00E0146C"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dấu “x” vào ô mức độ tương ứng quy mô của Kho lưu trữ tài liệu giấy và ghi số lượng trang thiết bị dùng cho lưu trữ của Lưu trữ lịch sử theo từng loại tương ứng với các dòng của cột A có đến thời điểm ngày 31 tháng 12 năm báo cáo.</w:t>
      </w: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6C"/>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0146C"/>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9579C-45D1-406B-9591-21751D4E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4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014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0146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0146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0146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E0146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0146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0146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0146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146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146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146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146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0146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0146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0146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0146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0146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014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14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146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146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014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0146C"/>
    <w:rPr>
      <w:i/>
      <w:iCs/>
      <w:color w:val="404040" w:themeColor="text1" w:themeTint="BF"/>
    </w:rPr>
  </w:style>
  <w:style w:type="paragraph" w:styleId="ListParagraph">
    <w:name w:val="List Paragraph"/>
    <w:basedOn w:val="Normal"/>
    <w:uiPriority w:val="34"/>
    <w:qFormat/>
    <w:rsid w:val="00E0146C"/>
    <w:pPr>
      <w:ind w:left="720"/>
      <w:contextualSpacing/>
    </w:pPr>
  </w:style>
  <w:style w:type="character" w:styleId="IntenseEmphasis">
    <w:name w:val="Intense Emphasis"/>
    <w:basedOn w:val="DefaultParagraphFont"/>
    <w:uiPriority w:val="21"/>
    <w:qFormat/>
    <w:rsid w:val="00E0146C"/>
    <w:rPr>
      <w:i/>
      <w:iCs/>
      <w:color w:val="2F5496" w:themeColor="accent1" w:themeShade="BF"/>
    </w:rPr>
  </w:style>
  <w:style w:type="paragraph" w:styleId="IntenseQuote">
    <w:name w:val="Intense Quote"/>
    <w:basedOn w:val="Normal"/>
    <w:next w:val="Normal"/>
    <w:link w:val="IntenseQuoteChar"/>
    <w:uiPriority w:val="30"/>
    <w:qFormat/>
    <w:rsid w:val="00E014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146C"/>
    <w:rPr>
      <w:i/>
      <w:iCs/>
      <w:color w:val="2F5496" w:themeColor="accent1" w:themeShade="BF"/>
    </w:rPr>
  </w:style>
  <w:style w:type="character" w:styleId="IntenseReference">
    <w:name w:val="Intense Reference"/>
    <w:basedOn w:val="DefaultParagraphFont"/>
    <w:uiPriority w:val="32"/>
    <w:qFormat/>
    <w:rsid w:val="00E0146C"/>
    <w:rPr>
      <w:b/>
      <w:bCs/>
      <w:smallCaps/>
      <w:color w:val="2F5496" w:themeColor="accent1" w:themeShade="BF"/>
      <w:spacing w:val="5"/>
    </w:rPr>
  </w:style>
  <w:style w:type="table" w:styleId="TableGrid">
    <w:name w:val="Table Grid"/>
    <w:basedOn w:val="TableNormal"/>
    <w:uiPriority w:val="39"/>
    <w:rsid w:val="00E0146C"/>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680</Words>
  <Characters>3880</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